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64" w:rsidRDefault="00C74B64" w:rsidP="00C74B64">
      <w:pPr>
        <w:pStyle w:val="Heading1"/>
        <w:spacing w:before="0"/>
        <w:jc w:val="both"/>
      </w:pPr>
      <w:bookmarkStart w:id="0" w:name="_GoBack"/>
      <w:bookmarkEnd w:id="0"/>
      <w:r>
        <w:t xml:space="preserve">COMMERCIAL PROPERTY STRATEGIC REVIEW – CONSULTANTS BRIEF </w:t>
      </w:r>
    </w:p>
    <w:p w:rsidR="00C74B64" w:rsidRDefault="00C74B64" w:rsidP="00C74B64">
      <w:pPr>
        <w:pStyle w:val="BodyText"/>
        <w:spacing w:before="181" w:line="256" w:lineRule="auto"/>
        <w:ind w:left="1440" w:right="1434"/>
        <w:jc w:val="both"/>
      </w:pPr>
      <w:r>
        <w:t xml:space="preserve">This </w:t>
      </w:r>
      <w:r w:rsidR="00EB4CAB">
        <w:t xml:space="preserve">brief </w:t>
      </w:r>
      <w:r>
        <w:t xml:space="preserve">provides an overview of the approach to be </w:t>
      </w:r>
      <w:r w:rsidR="00EB4CAB">
        <w:t>under</w:t>
      </w:r>
      <w:r>
        <w:t xml:space="preserve">taken </w:t>
      </w:r>
      <w:r w:rsidR="00EB4CAB">
        <w:t xml:space="preserve">for the </w:t>
      </w:r>
      <w:r>
        <w:t>review</w:t>
      </w:r>
      <w:r w:rsidR="00EB4CAB">
        <w:t xml:space="preserve"> of</w:t>
      </w:r>
      <w:r>
        <w:t xml:space="preserve"> the Councils commercial properties (non-operation investment) portfolio.</w:t>
      </w:r>
    </w:p>
    <w:p w:rsidR="00C74B64" w:rsidRDefault="00C74B64" w:rsidP="00C74B64">
      <w:pPr>
        <w:pStyle w:val="Heading1"/>
        <w:numPr>
          <w:ilvl w:val="0"/>
          <w:numId w:val="2"/>
        </w:numPr>
        <w:tabs>
          <w:tab w:val="left" w:pos="1755"/>
        </w:tabs>
      </w:pPr>
      <w:r>
        <w:t>Key</w:t>
      </w:r>
      <w:r>
        <w:rPr>
          <w:spacing w:val="-6"/>
        </w:rPr>
        <w:t xml:space="preserve"> </w:t>
      </w:r>
      <w:r>
        <w:t>challenges: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179"/>
        <w:ind w:hanging="361"/>
        <w:rPr>
          <w:sz w:val="21"/>
        </w:rPr>
      </w:pPr>
      <w:r>
        <w:rPr>
          <w:sz w:val="21"/>
        </w:rPr>
        <w:t>Little visibility on relative performance of the</w:t>
      </w:r>
      <w:r>
        <w:rPr>
          <w:spacing w:val="-10"/>
          <w:sz w:val="21"/>
        </w:rPr>
        <w:t xml:space="preserve"> </w:t>
      </w:r>
      <w:r>
        <w:rPr>
          <w:sz w:val="21"/>
        </w:rPr>
        <w:t>portfolio;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19" w:line="254" w:lineRule="auto"/>
        <w:ind w:right="1438"/>
        <w:rPr>
          <w:sz w:val="21"/>
        </w:rPr>
      </w:pPr>
      <w:r>
        <w:rPr>
          <w:sz w:val="21"/>
        </w:rPr>
        <w:t>Requirement to maximise the capital value and income generated by the commercial portfolio.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19" w:line="254" w:lineRule="auto"/>
        <w:ind w:right="1438"/>
        <w:rPr>
          <w:sz w:val="21"/>
        </w:rPr>
      </w:pPr>
      <w:r>
        <w:rPr>
          <w:sz w:val="21"/>
        </w:rPr>
        <w:t>Manging the impact of reductions in funding from Central Government and developing a more effective use of the Councils assets in order to aid financial resilience.</w:t>
      </w:r>
    </w:p>
    <w:p w:rsidR="00EB4CAB" w:rsidRDefault="00EB4CAB" w:rsidP="00C74B64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19" w:line="254" w:lineRule="auto"/>
        <w:ind w:right="1438"/>
        <w:rPr>
          <w:sz w:val="21"/>
        </w:rPr>
      </w:pPr>
      <w:r>
        <w:rPr>
          <w:sz w:val="21"/>
        </w:rPr>
        <w:t xml:space="preserve">Ensuring the asset portfolio is fit for purpose and identifying areas require further appraisal or intervention. </w:t>
      </w:r>
    </w:p>
    <w:p w:rsidR="00C74B64" w:rsidRDefault="00C74B64" w:rsidP="00C74B64">
      <w:pPr>
        <w:pStyle w:val="Heading1"/>
        <w:numPr>
          <w:ilvl w:val="0"/>
          <w:numId w:val="2"/>
        </w:numPr>
        <w:tabs>
          <w:tab w:val="left" w:pos="1755"/>
        </w:tabs>
      </w:pPr>
      <w:r>
        <w:t>Scope of the Brief</w:t>
      </w:r>
    </w:p>
    <w:p w:rsidR="00C74B64" w:rsidRDefault="00C74B64" w:rsidP="00C74B64">
      <w:pPr>
        <w:pStyle w:val="BodyText"/>
        <w:spacing w:before="181"/>
        <w:ind w:left="1440"/>
        <w:jc w:val="both"/>
      </w:pPr>
      <w:r>
        <w:t>Review the Councils commercial investment portfolio with focus on securing the following objectives:-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1"/>
        </w:tabs>
        <w:spacing w:before="178"/>
        <w:ind w:hanging="361"/>
        <w:jc w:val="both"/>
        <w:rPr>
          <w:sz w:val="21"/>
        </w:rPr>
      </w:pPr>
      <w:r>
        <w:rPr>
          <w:sz w:val="21"/>
        </w:rPr>
        <w:t>Develop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z w:val="21"/>
        </w:rPr>
        <w:t>clear</w:t>
      </w:r>
      <w:r>
        <w:rPr>
          <w:spacing w:val="-11"/>
          <w:sz w:val="21"/>
        </w:rPr>
        <w:t xml:space="preserve"> </w:t>
      </w:r>
      <w:r>
        <w:rPr>
          <w:sz w:val="21"/>
        </w:rPr>
        <w:t>strategy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protect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grow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income</w:t>
      </w:r>
      <w:r>
        <w:rPr>
          <w:spacing w:val="-10"/>
          <w:sz w:val="21"/>
        </w:rPr>
        <w:t xml:space="preserve"> </w:t>
      </w:r>
      <w:r>
        <w:rPr>
          <w:sz w:val="21"/>
        </w:rPr>
        <w:t>from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non-operational</w:t>
      </w:r>
      <w:r>
        <w:rPr>
          <w:spacing w:val="-8"/>
          <w:sz w:val="21"/>
        </w:rPr>
        <w:t xml:space="preserve"> </w:t>
      </w:r>
      <w:r>
        <w:rPr>
          <w:sz w:val="21"/>
        </w:rPr>
        <w:t>portfolio;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1"/>
        </w:tabs>
        <w:spacing w:before="17" w:line="256" w:lineRule="auto"/>
        <w:ind w:right="1433"/>
        <w:jc w:val="both"/>
        <w:rPr>
          <w:sz w:val="21"/>
        </w:rPr>
      </w:pPr>
      <w:r>
        <w:rPr>
          <w:sz w:val="21"/>
        </w:rPr>
        <w:t>Improve the performance of the non-operational estate - ensuring tenant compliance, landlord responsibilities</w:t>
      </w:r>
      <w:r w:rsidR="00EB4CAB">
        <w:rPr>
          <w:sz w:val="21"/>
        </w:rPr>
        <w:t xml:space="preserve"> are clearly understood</w:t>
      </w:r>
      <w:r>
        <w:rPr>
          <w:sz w:val="21"/>
        </w:rPr>
        <w:t>, securing receipt of rents and dealing with voids and insurance matters;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1"/>
        </w:tabs>
        <w:spacing w:before="5" w:line="256" w:lineRule="auto"/>
        <w:ind w:right="1435"/>
        <w:jc w:val="both"/>
        <w:rPr>
          <w:sz w:val="21"/>
        </w:rPr>
      </w:pPr>
      <w:r>
        <w:rPr>
          <w:sz w:val="21"/>
        </w:rPr>
        <w:t xml:space="preserve">Identify underperforming </w:t>
      </w:r>
      <w:r w:rsidR="00EB4CAB">
        <w:rPr>
          <w:sz w:val="21"/>
        </w:rPr>
        <w:t xml:space="preserve">assets </w:t>
      </w:r>
      <w:r>
        <w:rPr>
          <w:sz w:val="21"/>
        </w:rPr>
        <w:t>that are not being used to the best of their potential - release</w:t>
      </w:r>
      <w:r>
        <w:rPr>
          <w:spacing w:val="-9"/>
          <w:sz w:val="21"/>
        </w:rPr>
        <w:t xml:space="preserve"> </w:t>
      </w:r>
      <w:r>
        <w:rPr>
          <w:sz w:val="21"/>
        </w:rPr>
        <w:t>any</w:t>
      </w:r>
      <w:r>
        <w:rPr>
          <w:spacing w:val="-10"/>
          <w:sz w:val="21"/>
        </w:rPr>
        <w:t xml:space="preserve"> </w:t>
      </w:r>
      <w:r>
        <w:rPr>
          <w:sz w:val="21"/>
        </w:rPr>
        <w:t>surplus</w:t>
      </w:r>
      <w:r>
        <w:rPr>
          <w:spacing w:val="-10"/>
          <w:sz w:val="21"/>
        </w:rPr>
        <w:t xml:space="preserve"> </w:t>
      </w:r>
      <w:r>
        <w:rPr>
          <w:sz w:val="21"/>
        </w:rPr>
        <w:t>land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alternative</w:t>
      </w:r>
      <w:r>
        <w:rPr>
          <w:spacing w:val="-8"/>
          <w:sz w:val="21"/>
        </w:rPr>
        <w:t xml:space="preserve"> </w:t>
      </w:r>
      <w:r>
        <w:rPr>
          <w:sz w:val="21"/>
        </w:rPr>
        <w:t>uses</w:t>
      </w:r>
      <w:r>
        <w:rPr>
          <w:spacing w:val="-8"/>
          <w:sz w:val="21"/>
        </w:rPr>
        <w:t xml:space="preserve"> </w:t>
      </w:r>
      <w:r>
        <w:rPr>
          <w:sz w:val="21"/>
        </w:rPr>
        <w:t>e.g.</w:t>
      </w:r>
      <w:r>
        <w:rPr>
          <w:spacing w:val="-11"/>
          <w:sz w:val="21"/>
        </w:rPr>
        <w:t xml:space="preserve"> </w:t>
      </w:r>
      <w:r w:rsidR="00EB4CAB">
        <w:rPr>
          <w:spacing w:val="-11"/>
          <w:sz w:val="21"/>
        </w:rPr>
        <w:t xml:space="preserve">bringing forward land for </w:t>
      </w:r>
      <w:r>
        <w:rPr>
          <w:sz w:val="21"/>
        </w:rPr>
        <w:t>housing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support</w:t>
      </w:r>
      <w:r>
        <w:rPr>
          <w:spacing w:val="-10"/>
          <w:sz w:val="21"/>
        </w:rPr>
        <w:t xml:space="preserve"> </w:t>
      </w:r>
      <w:r>
        <w:rPr>
          <w:sz w:val="21"/>
        </w:rPr>
        <w:t>development</w:t>
      </w:r>
      <w:r w:rsidR="00EB4CAB">
        <w:rPr>
          <w:sz w:val="21"/>
        </w:rPr>
        <w:t xml:space="preserve">, </w:t>
      </w:r>
      <w:r>
        <w:rPr>
          <w:spacing w:val="-9"/>
          <w:sz w:val="21"/>
        </w:rPr>
        <w:t xml:space="preserve">review of </w:t>
      </w:r>
      <w:r>
        <w:rPr>
          <w:sz w:val="21"/>
        </w:rPr>
        <w:t>brownfield</w:t>
      </w:r>
      <w:r>
        <w:rPr>
          <w:spacing w:val="-5"/>
          <w:sz w:val="21"/>
        </w:rPr>
        <w:t xml:space="preserve"> </w:t>
      </w:r>
      <w:r>
        <w:rPr>
          <w:sz w:val="21"/>
        </w:rPr>
        <w:t>land and explore opportunities to re-designate to improve and enhance asset performance.</w:t>
      </w:r>
    </w:p>
    <w:p w:rsidR="00C74B64" w:rsidRDefault="00C74B64" w:rsidP="00C74B64">
      <w:pPr>
        <w:pStyle w:val="Heading1"/>
        <w:numPr>
          <w:ilvl w:val="0"/>
          <w:numId w:val="2"/>
        </w:numPr>
        <w:tabs>
          <w:tab w:val="left" w:pos="1755"/>
        </w:tabs>
        <w:spacing w:before="163"/>
      </w:pPr>
      <w:r>
        <w:t>Output</w:t>
      </w:r>
    </w:p>
    <w:p w:rsidR="00C74B64" w:rsidRDefault="00C74B64" w:rsidP="00C74B64">
      <w:pPr>
        <w:pStyle w:val="BodyText"/>
        <w:spacing w:before="181" w:line="259" w:lineRule="auto"/>
        <w:ind w:left="1440" w:right="1432"/>
        <w:jc w:val="both"/>
      </w:pPr>
      <w:r>
        <w:t>The</w:t>
      </w:r>
      <w:r>
        <w:rPr>
          <w:spacing w:val="-9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output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outlining</w:t>
      </w:r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observations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 the Council in</w:t>
      </w:r>
      <w:r>
        <w:rPr>
          <w:spacing w:val="-4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portfolio.</w:t>
      </w:r>
      <w:r>
        <w:rPr>
          <w:spacing w:val="-4"/>
        </w:rPr>
        <w:t xml:space="preserve"> The report re</w:t>
      </w:r>
      <w:r>
        <w:t>commendations will cover the</w:t>
      </w:r>
      <w:r>
        <w:rPr>
          <w:spacing w:val="-4"/>
        </w:rPr>
        <w:t xml:space="preserve"> </w:t>
      </w:r>
      <w:r>
        <w:t>following areas: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158"/>
        <w:ind w:hanging="361"/>
        <w:rPr>
          <w:sz w:val="21"/>
        </w:rPr>
      </w:pPr>
      <w:r>
        <w:rPr>
          <w:sz w:val="21"/>
        </w:rPr>
        <w:t>The approach to asset</w:t>
      </w:r>
      <w:r>
        <w:rPr>
          <w:spacing w:val="-5"/>
          <w:sz w:val="21"/>
        </w:rPr>
        <w:t xml:space="preserve"> </w:t>
      </w:r>
      <w:r>
        <w:rPr>
          <w:sz w:val="21"/>
        </w:rPr>
        <w:t>management;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19"/>
        <w:ind w:hanging="361"/>
        <w:rPr>
          <w:sz w:val="21"/>
        </w:rPr>
      </w:pPr>
      <w:r>
        <w:rPr>
          <w:sz w:val="21"/>
        </w:rPr>
        <w:t>Quantify the performance of</w:t>
      </w:r>
      <w:r>
        <w:rPr>
          <w:spacing w:val="-6"/>
          <w:sz w:val="21"/>
        </w:rPr>
        <w:t xml:space="preserve"> </w:t>
      </w:r>
      <w:r>
        <w:rPr>
          <w:sz w:val="21"/>
        </w:rPr>
        <w:t>assets;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ind w:hanging="361"/>
        <w:rPr>
          <w:sz w:val="21"/>
        </w:rPr>
      </w:pPr>
      <w:r>
        <w:rPr>
          <w:sz w:val="21"/>
        </w:rPr>
        <w:t>Acquisitions and</w:t>
      </w:r>
      <w:r>
        <w:rPr>
          <w:spacing w:val="-3"/>
          <w:sz w:val="21"/>
        </w:rPr>
        <w:t xml:space="preserve"> </w:t>
      </w:r>
      <w:r>
        <w:rPr>
          <w:sz w:val="21"/>
        </w:rPr>
        <w:t>disposals;</w:t>
      </w:r>
    </w:p>
    <w:p w:rsidR="00C74B64" w:rsidRDefault="00C74B64" w:rsidP="00C74B64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17"/>
        <w:ind w:hanging="361"/>
        <w:rPr>
          <w:sz w:val="21"/>
        </w:rPr>
      </w:pPr>
      <w:r>
        <w:rPr>
          <w:sz w:val="21"/>
        </w:rPr>
        <w:t>Re-gearing ground</w:t>
      </w:r>
      <w:r>
        <w:rPr>
          <w:spacing w:val="-4"/>
          <w:sz w:val="21"/>
        </w:rPr>
        <w:t xml:space="preserve"> </w:t>
      </w:r>
      <w:r>
        <w:rPr>
          <w:sz w:val="21"/>
        </w:rPr>
        <w:t>leases;</w:t>
      </w:r>
    </w:p>
    <w:p w:rsidR="00C74B64" w:rsidRDefault="00EB4CAB" w:rsidP="00C74B64">
      <w:pPr>
        <w:pStyle w:val="ListParagraph"/>
        <w:numPr>
          <w:ilvl w:val="1"/>
          <w:numId w:val="2"/>
        </w:numPr>
        <w:tabs>
          <w:tab w:val="left" w:pos="2160"/>
          <w:tab w:val="left" w:pos="2161"/>
        </w:tabs>
        <w:spacing w:before="19"/>
        <w:ind w:hanging="361"/>
        <w:rPr>
          <w:sz w:val="21"/>
        </w:rPr>
      </w:pPr>
      <w:r>
        <w:rPr>
          <w:sz w:val="21"/>
        </w:rPr>
        <w:t xml:space="preserve">Implementation plan for report recommendations including and key milestones. </w:t>
      </w:r>
    </w:p>
    <w:p w:rsidR="00C74B64" w:rsidRDefault="00C74B64" w:rsidP="00C74B64">
      <w:pPr>
        <w:pStyle w:val="Heading1"/>
        <w:numPr>
          <w:ilvl w:val="0"/>
          <w:numId w:val="2"/>
        </w:numPr>
        <w:tabs>
          <w:tab w:val="left" w:pos="1755"/>
        </w:tabs>
        <w:spacing w:before="177"/>
      </w:pPr>
      <w:r>
        <w:t>Evaluation</w:t>
      </w:r>
      <w:r>
        <w:rPr>
          <w:spacing w:val="-3"/>
        </w:rPr>
        <w:t xml:space="preserve"> </w:t>
      </w:r>
      <w:r>
        <w:t>Methods</w:t>
      </w:r>
    </w:p>
    <w:p w:rsidR="00C74B64" w:rsidRDefault="00C74B64" w:rsidP="00C74B64">
      <w:pPr>
        <w:pStyle w:val="ListParagraph"/>
        <w:numPr>
          <w:ilvl w:val="0"/>
          <w:numId w:val="1"/>
        </w:numPr>
        <w:tabs>
          <w:tab w:val="left" w:pos="1755"/>
        </w:tabs>
        <w:spacing w:before="179"/>
        <w:jc w:val="both"/>
        <w:rPr>
          <w:sz w:val="21"/>
        </w:rPr>
      </w:pPr>
      <w:r>
        <w:rPr>
          <w:sz w:val="21"/>
          <w:u w:val="single"/>
        </w:rPr>
        <w:t>Reputation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Risks</w:t>
      </w:r>
    </w:p>
    <w:p w:rsidR="00C74B64" w:rsidRDefault="00C74B64" w:rsidP="00C74B64">
      <w:pPr>
        <w:pStyle w:val="BodyText"/>
        <w:spacing w:before="180" w:line="256" w:lineRule="auto"/>
        <w:ind w:left="1440" w:right="1434"/>
        <w:jc w:val="both"/>
      </w:pPr>
      <w:r>
        <w:t>An</w:t>
      </w:r>
      <w:r>
        <w:rPr>
          <w:spacing w:val="-17"/>
        </w:rPr>
        <w:t xml:space="preserve"> </w:t>
      </w:r>
      <w:r>
        <w:t>assessment</w:t>
      </w:r>
      <w:r>
        <w:rPr>
          <w:spacing w:val="-16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assets</w:t>
      </w:r>
      <w:r>
        <w:rPr>
          <w:spacing w:val="-16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reputation</w:t>
      </w:r>
      <w:r>
        <w:rPr>
          <w:spacing w:val="-15"/>
        </w:rPr>
        <w:t xml:space="preserve"> </w:t>
      </w:r>
      <w:r>
        <w:t>risks,</w:t>
      </w:r>
      <w:r>
        <w:rPr>
          <w:spacing w:val="-18"/>
        </w:rPr>
        <w:t xml:space="preserve"> </w:t>
      </w:r>
      <w:r>
        <w:t>specifically on matters relating to use such</w:t>
      </w:r>
      <w:r>
        <w:rPr>
          <w:spacing w:val="-7"/>
        </w:rPr>
        <w:t xml:space="preserve"> </w:t>
      </w:r>
      <w:r>
        <w:t>as:-:</w:t>
      </w:r>
    </w:p>
    <w:p w:rsidR="00377244" w:rsidRDefault="00377244" w:rsidP="00377244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8"/>
        <w:ind w:left="2160" w:hanging="361"/>
        <w:rPr>
          <w:sz w:val="21"/>
        </w:rPr>
      </w:pPr>
      <w:r>
        <w:rPr>
          <w:sz w:val="21"/>
        </w:rPr>
        <w:t>Alcohol or Tobacco production or sale</w:t>
      </w:r>
    </w:p>
    <w:p w:rsidR="00377244" w:rsidRDefault="00377244" w:rsidP="00377244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8"/>
        <w:ind w:left="2160" w:hanging="361"/>
        <w:rPr>
          <w:sz w:val="21"/>
        </w:rPr>
      </w:pPr>
      <w:r>
        <w:rPr>
          <w:sz w:val="21"/>
        </w:rPr>
        <w:t>Animal</w:t>
      </w:r>
      <w:r>
        <w:rPr>
          <w:spacing w:val="-1"/>
          <w:sz w:val="21"/>
        </w:rPr>
        <w:t xml:space="preserve"> </w:t>
      </w:r>
      <w:r>
        <w:rPr>
          <w:sz w:val="21"/>
        </w:rPr>
        <w:t>exploitation;</w:t>
      </w:r>
    </w:p>
    <w:p w:rsidR="00377244" w:rsidRDefault="00377244" w:rsidP="00377244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7"/>
        <w:ind w:left="2160" w:hanging="361"/>
        <w:rPr>
          <w:sz w:val="21"/>
        </w:rPr>
      </w:pPr>
      <w:r>
        <w:rPr>
          <w:sz w:val="21"/>
        </w:rPr>
        <w:t>Gambling;</w:t>
      </w:r>
    </w:p>
    <w:p w:rsidR="00377244" w:rsidRDefault="00377244" w:rsidP="00377244">
      <w:pPr>
        <w:pStyle w:val="BodyText"/>
        <w:spacing w:before="180" w:line="256" w:lineRule="auto"/>
        <w:ind w:left="1440" w:right="1434"/>
        <w:jc w:val="both"/>
      </w:pPr>
      <w:r>
        <w:t>Any form of exploitation or environmentally damaging operations</w:t>
      </w:r>
    </w:p>
    <w:p w:rsidR="00C74B64" w:rsidRDefault="00C74B64" w:rsidP="00C74B64">
      <w:pPr>
        <w:spacing w:line="256" w:lineRule="auto"/>
        <w:jc w:val="both"/>
      </w:pPr>
    </w:p>
    <w:p w:rsidR="0063732A" w:rsidRPr="0063732A" w:rsidRDefault="0063732A" w:rsidP="003E4848">
      <w:pPr>
        <w:tabs>
          <w:tab w:val="left" w:pos="2160"/>
          <w:tab w:val="left" w:pos="2161"/>
        </w:tabs>
        <w:spacing w:before="17" w:line="408" w:lineRule="auto"/>
        <w:ind w:left="1418" w:right="3695"/>
        <w:rPr>
          <w:sz w:val="21"/>
        </w:rPr>
      </w:pPr>
      <w:r>
        <w:rPr>
          <w:sz w:val="21"/>
          <w:u w:val="single"/>
        </w:rPr>
        <w:t xml:space="preserve"> </w:t>
      </w:r>
      <w:r w:rsidRPr="0063732A">
        <w:rPr>
          <w:sz w:val="21"/>
          <w:u w:val="single"/>
        </w:rPr>
        <w:t>(b) Risk Management</w:t>
      </w:r>
      <w:r w:rsidRPr="0063732A">
        <w:rPr>
          <w:spacing w:val="-4"/>
          <w:sz w:val="21"/>
          <w:u w:val="single"/>
        </w:rPr>
        <w:t xml:space="preserve"> </w:t>
      </w:r>
      <w:r w:rsidRPr="0063732A">
        <w:rPr>
          <w:sz w:val="21"/>
          <w:u w:val="single"/>
        </w:rPr>
        <w:t>Assessment</w:t>
      </w:r>
    </w:p>
    <w:p w:rsidR="0063732A" w:rsidRDefault="0063732A" w:rsidP="0063732A">
      <w:pPr>
        <w:pStyle w:val="BodyText"/>
        <w:spacing w:before="8" w:line="417" w:lineRule="auto"/>
        <w:ind w:left="1440" w:right="2827"/>
      </w:pPr>
      <w:r>
        <w:t xml:space="preserve">A risk assessment of each asset shall be undertaken, including but not limited to: 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0"/>
        <w:ind w:left="2160" w:hanging="361"/>
        <w:rPr>
          <w:sz w:val="21"/>
        </w:rPr>
      </w:pPr>
      <w:r>
        <w:rPr>
          <w:sz w:val="21"/>
        </w:rPr>
        <w:t>Tenant default on rental payment (covenant</w:t>
      </w:r>
      <w:r>
        <w:rPr>
          <w:spacing w:val="-10"/>
          <w:sz w:val="21"/>
        </w:rPr>
        <w:t xml:space="preserve"> </w:t>
      </w:r>
      <w:r>
        <w:rPr>
          <w:sz w:val="21"/>
        </w:rPr>
        <w:t>risk);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9"/>
        <w:ind w:left="2160" w:hanging="361"/>
        <w:rPr>
          <w:sz w:val="21"/>
        </w:rPr>
      </w:pPr>
      <w:r>
        <w:rPr>
          <w:sz w:val="21"/>
        </w:rPr>
        <w:t>Risk of failure to re-let (void</w:t>
      </w:r>
      <w:r>
        <w:rPr>
          <w:spacing w:val="-6"/>
          <w:sz w:val="21"/>
        </w:rPr>
        <w:t xml:space="preserve"> </w:t>
      </w:r>
      <w:r>
        <w:rPr>
          <w:sz w:val="21"/>
        </w:rPr>
        <w:t>risks);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7"/>
        <w:ind w:left="2160" w:hanging="361"/>
        <w:rPr>
          <w:sz w:val="21"/>
        </w:rPr>
      </w:pPr>
      <w:r>
        <w:rPr>
          <w:sz w:val="21"/>
        </w:rPr>
        <w:t>Repairing</w:t>
      </w:r>
      <w:r>
        <w:rPr>
          <w:spacing w:val="-3"/>
          <w:sz w:val="21"/>
        </w:rPr>
        <w:t xml:space="preserve"> </w:t>
      </w:r>
      <w:r>
        <w:rPr>
          <w:sz w:val="21"/>
        </w:rPr>
        <w:t>issues;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9"/>
        <w:ind w:left="2160" w:hanging="361"/>
        <w:rPr>
          <w:sz w:val="21"/>
        </w:rPr>
      </w:pPr>
      <w:r>
        <w:rPr>
          <w:sz w:val="21"/>
        </w:rPr>
        <w:t>Costs of ownership and</w:t>
      </w:r>
      <w:r>
        <w:rPr>
          <w:spacing w:val="-4"/>
          <w:sz w:val="21"/>
        </w:rPr>
        <w:t xml:space="preserve"> </w:t>
      </w:r>
      <w:r>
        <w:rPr>
          <w:sz w:val="21"/>
        </w:rPr>
        <w:t>management;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ind w:left="2160" w:hanging="361"/>
        <w:rPr>
          <w:sz w:val="21"/>
        </w:rPr>
      </w:pPr>
      <w:r>
        <w:rPr>
          <w:sz w:val="21"/>
        </w:rPr>
        <w:lastRenderedPageBreak/>
        <w:t>Differing lease structures (e.g. rent review structure, lease</w:t>
      </w:r>
      <w:r>
        <w:rPr>
          <w:spacing w:val="-11"/>
          <w:sz w:val="21"/>
        </w:rPr>
        <w:t xml:space="preserve"> </w:t>
      </w:r>
      <w:r>
        <w:rPr>
          <w:sz w:val="21"/>
        </w:rPr>
        <w:t>breaks);</w:t>
      </w:r>
    </w:p>
    <w:p w:rsidR="003E4848" w:rsidRPr="003E4848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9" w:line="405" w:lineRule="auto"/>
        <w:ind w:right="7047" w:firstLine="360"/>
        <w:rPr>
          <w:sz w:val="21"/>
        </w:rPr>
      </w:pPr>
      <w:r>
        <w:rPr>
          <w:sz w:val="21"/>
        </w:rPr>
        <w:t>Sector risk (portfolio spread).</w:t>
      </w:r>
      <w:r>
        <w:rPr>
          <w:sz w:val="21"/>
          <w:u w:val="single"/>
        </w:rPr>
        <w:t xml:space="preserve"> </w:t>
      </w:r>
    </w:p>
    <w:p w:rsidR="0063732A" w:rsidRPr="003E4848" w:rsidRDefault="0063732A" w:rsidP="003E4848">
      <w:pPr>
        <w:pStyle w:val="ListParagraph"/>
        <w:tabs>
          <w:tab w:val="left" w:pos="2160"/>
          <w:tab w:val="left" w:pos="2161"/>
        </w:tabs>
        <w:spacing w:before="19" w:line="405" w:lineRule="auto"/>
        <w:ind w:left="1418" w:right="7047" w:firstLine="0"/>
        <w:rPr>
          <w:sz w:val="21"/>
        </w:rPr>
      </w:pPr>
      <w:r w:rsidRPr="003E4848">
        <w:rPr>
          <w:sz w:val="21"/>
          <w:u w:val="single"/>
        </w:rPr>
        <w:t>(c) Market</w:t>
      </w:r>
      <w:r w:rsidRPr="003E4848">
        <w:rPr>
          <w:spacing w:val="-5"/>
          <w:sz w:val="21"/>
          <w:u w:val="single"/>
        </w:rPr>
        <w:t xml:space="preserve"> </w:t>
      </w:r>
      <w:r w:rsidRPr="003E4848">
        <w:rPr>
          <w:sz w:val="21"/>
          <w:u w:val="single"/>
        </w:rPr>
        <w:t>Risks</w:t>
      </w:r>
    </w:p>
    <w:p w:rsidR="0063732A" w:rsidRDefault="0063732A" w:rsidP="0063732A">
      <w:pPr>
        <w:pStyle w:val="BodyText"/>
        <w:spacing w:before="11" w:line="259" w:lineRule="auto"/>
        <w:ind w:left="1440" w:right="1164"/>
      </w:pPr>
      <w:r>
        <w:t>A market risk assessment would be undertaken, including risks of structural change or market failure, which may affect the market as a whole or particular subsectors or groups of property: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60"/>
        <w:ind w:left="2160" w:hanging="361"/>
        <w:rPr>
          <w:sz w:val="21"/>
        </w:rPr>
      </w:pPr>
      <w:r>
        <w:rPr>
          <w:sz w:val="21"/>
        </w:rPr>
        <w:t>Illiquidity upon sale (e.g. lot size, transaction times, availability of</w:t>
      </w:r>
      <w:r>
        <w:rPr>
          <w:spacing w:val="-20"/>
          <w:sz w:val="21"/>
        </w:rPr>
        <w:t xml:space="preserve"> </w:t>
      </w:r>
      <w:r>
        <w:rPr>
          <w:sz w:val="21"/>
        </w:rPr>
        <w:t>finance);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7"/>
        <w:ind w:left="2160" w:hanging="361"/>
        <w:rPr>
          <w:sz w:val="21"/>
        </w:rPr>
      </w:pPr>
      <w:r>
        <w:rPr>
          <w:sz w:val="21"/>
        </w:rPr>
        <w:t>Failure to meet market rental expectations (forecast rental</w:t>
      </w:r>
      <w:r>
        <w:rPr>
          <w:spacing w:val="-13"/>
          <w:sz w:val="21"/>
        </w:rPr>
        <w:t xml:space="preserve"> </w:t>
      </w:r>
      <w:r>
        <w:rPr>
          <w:sz w:val="21"/>
        </w:rPr>
        <w:t>growth);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8"/>
        <w:ind w:left="2160" w:hanging="361"/>
        <w:rPr>
          <w:sz w:val="21"/>
        </w:rPr>
      </w:pPr>
      <w:r>
        <w:rPr>
          <w:sz w:val="21"/>
        </w:rPr>
        <w:t>Failure to meet market yield expectations (forecast yield</w:t>
      </w:r>
      <w:r>
        <w:rPr>
          <w:spacing w:val="-12"/>
          <w:sz w:val="21"/>
        </w:rPr>
        <w:t xml:space="preserve"> </w:t>
      </w:r>
      <w:r>
        <w:rPr>
          <w:sz w:val="21"/>
        </w:rPr>
        <w:t>shift);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17" w:line="256" w:lineRule="auto"/>
        <w:ind w:left="2160" w:right="1434"/>
        <w:rPr>
          <w:sz w:val="21"/>
        </w:rPr>
      </w:pPr>
      <w:r>
        <w:rPr>
          <w:sz w:val="21"/>
        </w:rPr>
        <w:t>Risk of locational, economic, physical and functional depreciation through structural change;</w:t>
      </w:r>
    </w:p>
    <w:p w:rsidR="0063732A" w:rsidRDefault="0063732A" w:rsidP="0063732A">
      <w:pPr>
        <w:pStyle w:val="ListParagraph"/>
        <w:numPr>
          <w:ilvl w:val="1"/>
          <w:numId w:val="1"/>
        </w:numPr>
        <w:tabs>
          <w:tab w:val="left" w:pos="2160"/>
          <w:tab w:val="left" w:pos="2161"/>
        </w:tabs>
        <w:spacing w:before="2" w:line="408" w:lineRule="auto"/>
        <w:ind w:right="2094" w:firstLine="360"/>
        <w:rPr>
          <w:sz w:val="21"/>
        </w:rPr>
      </w:pPr>
      <w:r>
        <w:rPr>
          <w:sz w:val="21"/>
        </w:rPr>
        <w:t>Risks associated with legislative change (e.g. planning or changes in fiscal policy).</w:t>
      </w:r>
      <w:r>
        <w:rPr>
          <w:sz w:val="21"/>
          <w:u w:val="single"/>
        </w:rPr>
        <w:t xml:space="preserve"> (d) Criterial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Matrix</w:t>
      </w:r>
    </w:p>
    <w:p w:rsidR="0063732A" w:rsidRDefault="0063732A" w:rsidP="0063732A">
      <w:pPr>
        <w:pStyle w:val="BodyText"/>
        <w:spacing w:before="8" w:line="259" w:lineRule="auto"/>
        <w:ind w:left="1440" w:right="1436"/>
        <w:jc w:val="both"/>
      </w:pPr>
      <w:r>
        <w:t xml:space="preserve">In order to measure relative performance of the assets, we would develop a Criterial Matrix with the </w:t>
      </w:r>
      <w:r w:rsidR="00377244">
        <w:t xml:space="preserve">consultants </w:t>
      </w:r>
      <w:r>
        <w:t>which would establish a weighted score for each asset. An example is provided as follows:-</w:t>
      </w:r>
    </w:p>
    <w:p w:rsidR="00C74B64" w:rsidRDefault="00C74B64" w:rsidP="00C74B64">
      <w:pPr>
        <w:spacing w:line="256" w:lineRule="auto"/>
        <w:jc w:val="both"/>
      </w:pPr>
    </w:p>
    <w:p w:rsidR="0063732A" w:rsidRDefault="0063732A" w:rsidP="00C74B64">
      <w:pPr>
        <w:spacing w:line="256" w:lineRule="auto"/>
        <w:jc w:val="both"/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236"/>
        <w:gridCol w:w="1060"/>
        <w:gridCol w:w="1062"/>
        <w:gridCol w:w="1305"/>
        <w:gridCol w:w="1177"/>
        <w:gridCol w:w="1562"/>
      </w:tblGrid>
      <w:tr w:rsidR="0063732A" w:rsidTr="00377244">
        <w:trPr>
          <w:trHeight w:val="421"/>
        </w:trPr>
        <w:tc>
          <w:tcPr>
            <w:tcW w:w="1610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Score</w:t>
            </w:r>
          </w:p>
        </w:tc>
        <w:tc>
          <w:tcPr>
            <w:tcW w:w="1236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062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05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77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62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63732A" w:rsidTr="00377244">
        <w:trPr>
          <w:trHeight w:val="839"/>
        </w:trPr>
        <w:tc>
          <w:tcPr>
            <w:tcW w:w="1610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SCORING</w:t>
            </w:r>
          </w:p>
          <w:p w:rsidR="0063732A" w:rsidRDefault="0063732A" w:rsidP="00377244">
            <w:pPr>
              <w:pStyle w:val="TableParagraph"/>
              <w:spacing w:before="17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CRITERIA</w:t>
            </w:r>
          </w:p>
        </w:tc>
        <w:tc>
          <w:tcPr>
            <w:tcW w:w="1236" w:type="dxa"/>
          </w:tcPr>
          <w:p w:rsidR="0063732A" w:rsidRDefault="0063732A" w:rsidP="00377244">
            <w:pPr>
              <w:pStyle w:val="TableParagraph"/>
              <w:spacing w:before="0" w:line="256" w:lineRule="auto"/>
              <w:ind w:left="108" w:right="164"/>
              <w:rPr>
                <w:sz w:val="21"/>
              </w:rPr>
            </w:pPr>
            <w:r>
              <w:rPr>
                <w:sz w:val="21"/>
              </w:rPr>
              <w:t>Weighting Factor</w:t>
            </w:r>
          </w:p>
        </w:tc>
        <w:tc>
          <w:tcPr>
            <w:tcW w:w="1060" w:type="dxa"/>
          </w:tcPr>
          <w:p w:rsidR="0063732A" w:rsidRDefault="0063732A" w:rsidP="00377244">
            <w:pPr>
              <w:pStyle w:val="TableParagraph"/>
              <w:spacing w:before="0" w:line="256" w:lineRule="auto"/>
              <w:ind w:left="108" w:right="408"/>
              <w:rPr>
                <w:sz w:val="21"/>
              </w:rPr>
            </w:pPr>
            <w:r>
              <w:rPr>
                <w:sz w:val="21"/>
              </w:rPr>
              <w:t>Very Good</w:t>
            </w:r>
          </w:p>
        </w:tc>
        <w:tc>
          <w:tcPr>
            <w:tcW w:w="1062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Good</w:t>
            </w:r>
          </w:p>
        </w:tc>
        <w:tc>
          <w:tcPr>
            <w:tcW w:w="1305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Acceptable</w:t>
            </w:r>
          </w:p>
        </w:tc>
        <w:tc>
          <w:tcPr>
            <w:tcW w:w="1177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11"/>
              <w:rPr>
                <w:sz w:val="21"/>
              </w:rPr>
            </w:pPr>
            <w:r>
              <w:rPr>
                <w:sz w:val="21"/>
              </w:rPr>
              <w:t>Marginal</w:t>
            </w:r>
          </w:p>
        </w:tc>
        <w:tc>
          <w:tcPr>
            <w:tcW w:w="1562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13"/>
              <w:rPr>
                <w:sz w:val="21"/>
              </w:rPr>
            </w:pPr>
            <w:r>
              <w:rPr>
                <w:sz w:val="21"/>
              </w:rPr>
              <w:t>Unacceptable</w:t>
            </w:r>
          </w:p>
        </w:tc>
      </w:tr>
      <w:tr w:rsidR="0063732A" w:rsidTr="00377244">
        <w:trPr>
          <w:trHeight w:val="422"/>
        </w:trPr>
        <w:tc>
          <w:tcPr>
            <w:tcW w:w="1610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Location</w:t>
            </w:r>
          </w:p>
        </w:tc>
        <w:tc>
          <w:tcPr>
            <w:tcW w:w="1236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3732A" w:rsidTr="00377244">
        <w:trPr>
          <w:trHeight w:val="681"/>
        </w:trPr>
        <w:tc>
          <w:tcPr>
            <w:tcW w:w="1610" w:type="dxa"/>
          </w:tcPr>
          <w:p w:rsidR="0063732A" w:rsidRDefault="0063732A" w:rsidP="00377244">
            <w:pPr>
              <w:pStyle w:val="TableParagraph"/>
              <w:spacing w:before="0" w:line="259" w:lineRule="auto"/>
              <w:ind w:left="107" w:right="679"/>
              <w:rPr>
                <w:sz w:val="21"/>
              </w:rPr>
            </w:pPr>
            <w:r>
              <w:rPr>
                <w:sz w:val="21"/>
              </w:rPr>
              <w:t>Tenant Strength</w:t>
            </w:r>
          </w:p>
        </w:tc>
        <w:tc>
          <w:tcPr>
            <w:tcW w:w="1236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3732A" w:rsidTr="00377244">
        <w:trPr>
          <w:trHeight w:val="419"/>
        </w:trPr>
        <w:tc>
          <w:tcPr>
            <w:tcW w:w="1610" w:type="dxa"/>
          </w:tcPr>
          <w:p w:rsidR="0063732A" w:rsidRDefault="0063732A" w:rsidP="00377244">
            <w:pPr>
              <w:pStyle w:val="TableParagraph"/>
              <w:spacing w:before="0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Tenure</w:t>
            </w:r>
          </w:p>
        </w:tc>
        <w:tc>
          <w:tcPr>
            <w:tcW w:w="1236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3732A" w:rsidTr="00377244">
        <w:trPr>
          <w:trHeight w:val="942"/>
        </w:trPr>
        <w:tc>
          <w:tcPr>
            <w:tcW w:w="1610" w:type="dxa"/>
          </w:tcPr>
          <w:p w:rsidR="0063732A" w:rsidRDefault="0063732A" w:rsidP="00377244">
            <w:pPr>
              <w:pStyle w:val="TableParagraph"/>
              <w:spacing w:before="0" w:line="259" w:lineRule="auto"/>
              <w:ind w:left="107" w:right="142"/>
              <w:rPr>
                <w:sz w:val="21"/>
              </w:rPr>
            </w:pPr>
            <w:r>
              <w:rPr>
                <w:sz w:val="21"/>
              </w:rPr>
              <w:t>Building Quality / Obsolescence</w:t>
            </w:r>
          </w:p>
        </w:tc>
        <w:tc>
          <w:tcPr>
            <w:tcW w:w="1236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3732A" w:rsidTr="00377244">
        <w:trPr>
          <w:trHeight w:val="942"/>
        </w:trPr>
        <w:tc>
          <w:tcPr>
            <w:tcW w:w="1610" w:type="dxa"/>
          </w:tcPr>
          <w:p w:rsidR="0063732A" w:rsidRDefault="0063732A" w:rsidP="00377244">
            <w:pPr>
              <w:pStyle w:val="TableParagraph"/>
              <w:spacing w:before="0" w:line="259" w:lineRule="auto"/>
              <w:ind w:left="107" w:right="142"/>
              <w:rPr>
                <w:sz w:val="21"/>
              </w:rPr>
            </w:pPr>
            <w:r>
              <w:rPr>
                <w:sz w:val="21"/>
              </w:rPr>
              <w:t>Repairing Terms</w:t>
            </w:r>
          </w:p>
        </w:tc>
        <w:tc>
          <w:tcPr>
            <w:tcW w:w="1236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3732A" w:rsidTr="00377244">
        <w:trPr>
          <w:trHeight w:val="942"/>
        </w:trPr>
        <w:tc>
          <w:tcPr>
            <w:tcW w:w="1610" w:type="dxa"/>
          </w:tcPr>
          <w:p w:rsidR="0063732A" w:rsidRDefault="0063732A" w:rsidP="00377244">
            <w:pPr>
              <w:pStyle w:val="TableParagraph"/>
              <w:spacing w:before="0" w:line="259" w:lineRule="auto"/>
              <w:ind w:left="107" w:right="142"/>
              <w:rPr>
                <w:sz w:val="21"/>
              </w:rPr>
            </w:pPr>
          </w:p>
        </w:tc>
        <w:tc>
          <w:tcPr>
            <w:tcW w:w="1236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63732A" w:rsidRDefault="0063732A" w:rsidP="0037724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63732A" w:rsidRDefault="0063732A" w:rsidP="00C74B64">
      <w:pPr>
        <w:spacing w:line="256" w:lineRule="auto"/>
        <w:jc w:val="both"/>
        <w:sectPr w:rsidR="0063732A" w:rsidSect="00C74B64">
          <w:headerReference w:type="default" r:id="rId7"/>
          <w:pgSz w:w="11910" w:h="16840"/>
          <w:pgMar w:top="1960" w:right="0" w:bottom="280" w:left="0" w:header="708" w:footer="720" w:gutter="0"/>
          <w:cols w:space="720"/>
        </w:sectPr>
      </w:pPr>
    </w:p>
    <w:p w:rsidR="0063732A" w:rsidRDefault="0063732A" w:rsidP="003E4848">
      <w:pPr>
        <w:pStyle w:val="BodyText"/>
        <w:spacing w:before="94" w:line="256" w:lineRule="auto"/>
        <w:ind w:left="0" w:right="-46"/>
        <w:jc w:val="both"/>
      </w:pPr>
      <w:r>
        <w:lastRenderedPageBreak/>
        <w:t xml:space="preserve">The Council shall discuss with the consultants </w:t>
      </w:r>
      <w:r w:rsidR="00377244">
        <w:t xml:space="preserve">any good practice or innovation they can provide in relation to </w:t>
      </w:r>
      <w:r>
        <w:t xml:space="preserve">the scoring criteria, </w:t>
      </w:r>
      <w:r w:rsidR="00377244">
        <w:t xml:space="preserve">triggers and </w:t>
      </w:r>
      <w:r>
        <w:t>weightings</w:t>
      </w:r>
      <w:r w:rsidR="00377244">
        <w:t>.</w:t>
      </w:r>
    </w:p>
    <w:p w:rsidR="0063732A" w:rsidRDefault="0063732A" w:rsidP="003E4848">
      <w:pPr>
        <w:pStyle w:val="Heading1"/>
        <w:spacing w:before="159"/>
        <w:ind w:left="0"/>
      </w:pPr>
      <w:r>
        <w:t>Next Steps</w:t>
      </w:r>
    </w:p>
    <w:p w:rsidR="0063732A" w:rsidRDefault="0063732A" w:rsidP="003E4848">
      <w:pPr>
        <w:pStyle w:val="BodyText"/>
        <w:tabs>
          <w:tab w:val="left" w:pos="7513"/>
        </w:tabs>
        <w:spacing w:before="179" w:line="259" w:lineRule="auto"/>
        <w:ind w:left="0" w:right="1434"/>
        <w:jc w:val="both"/>
      </w:pPr>
      <w:r>
        <w:t xml:space="preserve">The Council shall look to appoint a specialist contractor from the CCS Framework </w:t>
      </w:r>
      <w:r w:rsidR="00377244">
        <w:t>A</w:t>
      </w:r>
      <w:r>
        <w:t xml:space="preserve">greement for a fixed fee with a target completion date for </w:t>
      </w:r>
      <w:r w:rsidR="00EB4CAB">
        <w:t>24</w:t>
      </w:r>
      <w:r>
        <w:t xml:space="preserve"> </w:t>
      </w:r>
      <w:r w:rsidR="00EB4CAB">
        <w:t>February</w:t>
      </w:r>
      <w:r>
        <w:t xml:space="preserve"> 2020.</w:t>
      </w:r>
    </w:p>
    <w:p w:rsidR="0063732A" w:rsidRDefault="0063732A" w:rsidP="003E4848">
      <w:pPr>
        <w:spacing w:before="160"/>
        <w:rPr>
          <w:b/>
        </w:rPr>
      </w:pPr>
      <w:r>
        <w:rPr>
          <w:b/>
        </w:rPr>
        <w:t>Schedule of Commercial Investment Portfolio for appraisal are outlined below:</w:t>
      </w:r>
    </w:p>
    <w:p w:rsidR="0063732A" w:rsidRDefault="0063732A" w:rsidP="0063732A">
      <w:pPr>
        <w:pStyle w:val="BodyText"/>
        <w:spacing w:before="7"/>
        <w:ind w:left="0"/>
        <w:rPr>
          <w:b/>
          <w:sz w:val="15"/>
        </w:rPr>
      </w:pPr>
    </w:p>
    <w:tbl>
      <w:tblPr>
        <w:tblW w:w="4478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916"/>
        <w:gridCol w:w="3259"/>
      </w:tblGrid>
      <w:tr w:rsidR="006C3700" w:rsidTr="006C3700">
        <w:trPr>
          <w:trHeight w:val="521"/>
        </w:trPr>
        <w:tc>
          <w:tcPr>
            <w:tcW w:w="557" w:type="pct"/>
            <w:shd w:val="clear" w:color="auto" w:fill="002C76"/>
          </w:tcPr>
          <w:p w:rsidR="006C3700" w:rsidRDefault="006C3700" w:rsidP="00377244"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</w:t>
            </w:r>
          </w:p>
        </w:tc>
        <w:tc>
          <w:tcPr>
            <w:tcW w:w="2425" w:type="pct"/>
            <w:shd w:val="clear" w:color="auto" w:fill="002C76"/>
          </w:tcPr>
          <w:p w:rsidR="006C3700" w:rsidRDefault="006C3700" w:rsidP="00377244">
            <w:pPr>
              <w:pStyle w:val="TableParagraph"/>
              <w:spacing w:before="161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Property</w:t>
            </w:r>
          </w:p>
        </w:tc>
        <w:tc>
          <w:tcPr>
            <w:tcW w:w="2019" w:type="pct"/>
            <w:shd w:val="clear" w:color="auto" w:fill="002C76"/>
          </w:tcPr>
          <w:p w:rsidR="006C3700" w:rsidRDefault="006C3700" w:rsidP="00377244">
            <w:pPr>
              <w:pStyle w:val="TableParagraph"/>
              <w:spacing w:before="161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Tenure</w:t>
            </w:r>
          </w:p>
        </w:tc>
      </w:tr>
      <w:tr w:rsidR="006C3700" w:rsidTr="006C3700">
        <w:trPr>
          <w:trHeight w:val="518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I1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7" w:line="260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Forward Industrial Estate, Talbot Road Leyland,PR25 2ZJ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20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I2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8" w:line="26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Land Adjacent To 155 Longmeanygate, Longmeanygate, Leyland, PR26 7TB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28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I3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0" w:line="260" w:lineRule="exact"/>
              <w:ind w:left="108" w:right="1394"/>
              <w:rPr>
                <w:sz w:val="20"/>
              </w:rPr>
            </w:pPr>
            <w:r>
              <w:rPr>
                <w:sz w:val="20"/>
              </w:rPr>
              <w:t>Land At Broad Oak Lane Penwortham, Preston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2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1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I4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0" w:line="260" w:lineRule="exact"/>
              <w:ind w:left="108" w:right="1394"/>
              <w:rPr>
                <w:sz w:val="20"/>
              </w:rPr>
            </w:pPr>
            <w:r>
              <w:rPr>
                <w:sz w:val="20"/>
              </w:rPr>
              <w:t>Land On The North Side Of Longmeanygate, Leyland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21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1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I5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1" w:line="26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Land On The South Side Of Kellet Lane Bamber Bridge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21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0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I6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Land At Dog Kennel Wood</w:t>
            </w:r>
          </w:p>
          <w:p w:rsidR="006C3700" w:rsidRDefault="006C3700" w:rsidP="00377244">
            <w:pPr>
              <w:pStyle w:val="TableParagraph"/>
              <w:spacing w:before="31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London Way, Walton Le Dale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19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8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I11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8" w:line="260" w:lineRule="exact"/>
              <w:ind w:left="108" w:right="1027"/>
              <w:rPr>
                <w:sz w:val="20"/>
              </w:rPr>
            </w:pPr>
            <w:r>
              <w:rPr>
                <w:sz w:val="20"/>
              </w:rPr>
              <w:t>Garages 1-4, Balcarres Road Leyland, PR25 2EL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0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I12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0" w:line="260" w:lineRule="exact"/>
              <w:ind w:left="108" w:right="1027"/>
              <w:rPr>
                <w:sz w:val="20"/>
              </w:rPr>
            </w:pPr>
            <w:r>
              <w:rPr>
                <w:sz w:val="20"/>
              </w:rPr>
              <w:t>Garage 1, 11 Ryefield Avenue Penwortham, PR1 9EJ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20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I13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7" w:line="260" w:lineRule="exact"/>
              <w:ind w:left="108"/>
              <w:rPr>
                <w:sz w:val="20"/>
              </w:rPr>
            </w:pPr>
            <w:r>
              <w:rPr>
                <w:sz w:val="20"/>
              </w:rPr>
              <w:t>A &amp; A Packaging Ltd, Industrial Estate On Liverpool New Road, Walmer Bridge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1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I14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1" w:line="260" w:lineRule="exact"/>
              <w:ind w:left="108" w:right="1394"/>
              <w:rPr>
                <w:sz w:val="20"/>
              </w:rPr>
            </w:pPr>
            <w:r>
              <w:rPr>
                <w:sz w:val="20"/>
              </w:rPr>
              <w:t>A T C, 1 Woodlea Road Leyland, PR25 1JL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151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0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I15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Air Training Corps</w:t>
            </w:r>
          </w:p>
          <w:p w:rsidR="006C3700" w:rsidRDefault="006C3700" w:rsidP="00377244">
            <w:pPr>
              <w:pStyle w:val="TableParagraph"/>
              <w:spacing w:before="29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Mounsey Rd, Bamber Bridge, PR5 6LT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21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I16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6" w:line="262" w:lineRule="exact"/>
              <w:ind w:left="108"/>
              <w:rPr>
                <w:sz w:val="20"/>
              </w:rPr>
            </w:pPr>
            <w:r>
              <w:rPr>
                <w:sz w:val="20"/>
              </w:rPr>
              <w:t>Ambulance Station, Industrial Estate On Liverpool New Road, Walmer Bridge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161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1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I17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Army Cadet Centre</w:t>
            </w:r>
          </w:p>
          <w:p w:rsidR="006C3700" w:rsidRDefault="006C3700" w:rsidP="00377244">
            <w:pPr>
              <w:pStyle w:val="TableParagraph"/>
              <w:spacing w:before="32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Bent Lane, Leyland, PR25 4HS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149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20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I18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8" w:line="260" w:lineRule="exact"/>
              <w:ind w:left="108" w:right="1027"/>
              <w:rPr>
                <w:sz w:val="20"/>
              </w:rPr>
            </w:pPr>
            <w:r>
              <w:rPr>
                <w:sz w:val="20"/>
              </w:rPr>
              <w:t>Bloomfield Grange Penwortham, Preston, PR1 9LJ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</w:tcPr>
          <w:p w:rsidR="006C3700" w:rsidRDefault="006C3700" w:rsidP="00377244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I19</w:t>
            </w:r>
          </w:p>
        </w:tc>
        <w:tc>
          <w:tcPr>
            <w:tcW w:w="2425" w:type="pct"/>
          </w:tcPr>
          <w:p w:rsidR="006C3700" w:rsidRDefault="006C3700" w:rsidP="00377244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Unit 280 (Carnfield Place) Walton Summit, Bamber Bridge</w:t>
            </w:r>
          </w:p>
        </w:tc>
        <w:tc>
          <w:tcPr>
            <w:tcW w:w="2019" w:type="pct"/>
          </w:tcPr>
          <w:p w:rsidR="006C3700" w:rsidRDefault="006C3700" w:rsidP="00377244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I20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Champ Chicken Industrial Estate, Liverpool New Road, Walmer Bridge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I21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Club Court, Club Street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Bamber Bridge, PR5 6FN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I22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331/339 Four Oaks Road (Ranglet Rd) Walton Summit, Bamber Bridge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lastRenderedPageBreak/>
              <w:t>I23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Land At Braconash Road ,Leyland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1.10 acres let to C &amp; W Berry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I24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Land At Braconash Road, Leyland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0.75 acres let to C &amp; W Berry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I25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Land At Braconash Road, Leyland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2.32 acres let to C&amp; W Berry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I26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Land At Braconash Road, Leyland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1.09 acres let to C &amp; W Berry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I27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Land At Braconash Road, Leyland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0.72 acres let to Consignia Plc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I28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Land At Green Place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500 Walton Summit, Bamber Bridge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I29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Land At Gregson Lane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Hoghton, PR5 0DP (Mobile Library site)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I30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Land For Gas Governor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At Gregson Lane, Hoghton, PR5 0DP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I31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Lostock Hall Trading Estate Sherdley Rd, Lostock Hall, PR5 5LP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I32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Naaz Indian Restaurant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Club Street, Bamber Bridge, PR5 6FN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I33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Sandy Lane Surgery,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Sandy Lane, Leyland, PR25 2EB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I34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Tesco Stores Limited</w:t>
            </w:r>
          </w:p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Towngate, Leyland, Preston, PR25 2FN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I35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Former Hulmes Mill Site St Andrews Way, Leyland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left="107"/>
              <w:rPr>
                <w:sz w:val="20"/>
              </w:rPr>
            </w:pPr>
            <w:r w:rsidRPr="0063732A">
              <w:rPr>
                <w:sz w:val="20"/>
              </w:rPr>
              <w:t>I36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0" w:line="260" w:lineRule="exact"/>
              <w:ind w:left="108" w:right="1028"/>
              <w:rPr>
                <w:sz w:val="20"/>
              </w:rPr>
            </w:pPr>
            <w:r>
              <w:rPr>
                <w:sz w:val="20"/>
              </w:rPr>
              <w:t>Gas Governor Site at Liverpool Road Longton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150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5"/>
        </w:trPr>
        <w:tc>
          <w:tcPr>
            <w:tcW w:w="55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63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I37</w:t>
            </w:r>
          </w:p>
        </w:tc>
        <w:tc>
          <w:tcPr>
            <w:tcW w:w="2425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33"/>
              <w:ind w:left="102"/>
              <w:rPr>
                <w:sz w:val="20"/>
              </w:rPr>
            </w:pPr>
            <w:r>
              <w:rPr>
                <w:sz w:val="20"/>
              </w:rPr>
              <w:t>124 Brookfield Place</w:t>
            </w:r>
          </w:p>
          <w:p w:rsidR="006C3700" w:rsidRDefault="006C3700" w:rsidP="00377244">
            <w:pPr>
              <w:pStyle w:val="TableParagraph"/>
              <w:spacing w:before="32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8BF</w:t>
            </w:r>
          </w:p>
        </w:tc>
        <w:tc>
          <w:tcPr>
            <w:tcW w:w="201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63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779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C3700" w:rsidRDefault="006C3700" w:rsidP="00377244">
            <w:pPr>
              <w:pStyle w:val="TableParagraph"/>
              <w:spacing w:before="0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I38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28"/>
              <w:ind w:left="102"/>
              <w:rPr>
                <w:sz w:val="20"/>
              </w:rPr>
            </w:pPr>
            <w:r>
              <w:rPr>
                <w:sz w:val="20"/>
              </w:rPr>
              <w:t>125 Brookfield Place</w:t>
            </w:r>
          </w:p>
          <w:p w:rsidR="006C3700" w:rsidRDefault="006C3700" w:rsidP="00377244">
            <w:pPr>
              <w:pStyle w:val="TableParagraph"/>
              <w:spacing w:before="7" w:line="262" w:lineRule="exact"/>
              <w:ind w:left="102" w:right="323"/>
              <w:rPr>
                <w:sz w:val="20"/>
              </w:rPr>
            </w:pPr>
            <w:r>
              <w:rPr>
                <w:sz w:val="20"/>
              </w:rPr>
              <w:t>Walton Summit Centre, Bamber Bridge, Preston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1"/>
              <w:jc w:val="right"/>
              <w:rPr>
                <w:b/>
                <w:sz w:val="24"/>
              </w:rPr>
            </w:pPr>
          </w:p>
          <w:p w:rsidR="006C3700" w:rsidRDefault="006C3700" w:rsidP="006C3700">
            <w:pPr>
              <w:pStyle w:val="TableParagraph"/>
              <w:spacing w:before="0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49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I39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9"/>
              <w:ind w:left="102"/>
              <w:rPr>
                <w:sz w:val="20"/>
              </w:rPr>
            </w:pPr>
            <w:r>
              <w:rPr>
                <w:sz w:val="20"/>
              </w:rPr>
              <w:t>126 Brookfield Place</w:t>
            </w:r>
          </w:p>
          <w:p w:rsidR="006C3700" w:rsidRDefault="006C3700" w:rsidP="00377244">
            <w:pPr>
              <w:pStyle w:val="TableParagraph"/>
              <w:spacing w:before="32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8BF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49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I40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7" w:line="260" w:lineRule="exact"/>
              <w:ind w:left="102" w:right="1546"/>
              <w:rPr>
                <w:sz w:val="20"/>
              </w:rPr>
            </w:pPr>
            <w:r>
              <w:rPr>
                <w:sz w:val="20"/>
              </w:rPr>
              <w:t>122 Clydesdale Place Leyland, PR26 7QS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3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51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I41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" w:line="260" w:lineRule="exact"/>
              <w:ind w:left="102" w:right="1546"/>
              <w:rPr>
                <w:sz w:val="20"/>
              </w:rPr>
            </w:pPr>
            <w:r>
              <w:rPr>
                <w:sz w:val="20"/>
              </w:rPr>
              <w:t>123 Clydesdale Place Leyland, PR26 7QS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51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50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I42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0" w:line="260" w:lineRule="exact"/>
              <w:ind w:left="102" w:right="1901"/>
              <w:rPr>
                <w:sz w:val="20"/>
              </w:rPr>
            </w:pPr>
            <w:r>
              <w:rPr>
                <w:sz w:val="20"/>
              </w:rPr>
              <w:t>124 Clydesdale Place Leyland, PR26 7QS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50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21" w:line="211" w:lineRule="exact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I43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126 Clydesdale Place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Leyland, PR26 7QS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I44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127 Clydesdale Place Leyland, PR26 7QS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I45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128 Clydesdale Place Leyland, PR26 7QS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I46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129 Clydesdale Place Leyland, PR26 7QS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I47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130 Clydesdale Place Leyland, PR26 7QS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I48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131 Clydesdale Place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Leyland, PR26 7QS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I49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225 Brierley Road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8AH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I50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227 Brierley Road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8AL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I51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228 Brierley Road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8AH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I52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229 Brierley Road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8AL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I53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248 Dawson Place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8AL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I54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253 Dawson Place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8AL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I55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254 Dawson Place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8AL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I56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255 Dawson Place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 ,Bamber Bridge, PR5 8AL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I57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449 Oakshott Place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Walton Summit, Bamber Bridge, PR5 8AT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I58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81A Bison Place Leyland, PR26 7QR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I59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Unit 1 Middleforth Industrial Estate Leyland Road, Penwortham, Preston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I60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Unit 2 Middleforth Industrial Estate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Leyland Road, Penwortham, Preston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I61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Unit 3 Middleforth Industrial Estate Leyland Road, Penwortham, Preston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I62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Unit 4 Middleforth Industrial Estate</w:t>
            </w:r>
          </w:p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Leyland Road, Penwortham, Preston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I63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Unit 5 Middleforth Industrial Estate Leyland Road, Penwortham, Preston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1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I64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1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Unit 6 Middleforth Industrial Estate Leyland Road, Penwortham, Preston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1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5"/>
        </w:trPr>
        <w:tc>
          <w:tcPr>
            <w:tcW w:w="55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63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I67</w:t>
            </w:r>
          </w:p>
        </w:tc>
        <w:tc>
          <w:tcPr>
            <w:tcW w:w="2425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3" w:line="260" w:lineRule="atLeast"/>
              <w:ind w:left="102"/>
              <w:rPr>
                <w:sz w:val="20"/>
              </w:rPr>
            </w:pPr>
            <w:r>
              <w:rPr>
                <w:sz w:val="20"/>
              </w:rPr>
              <w:t>122a Station Road Bamber Bridge PR5 6QR (PWD)</w:t>
            </w:r>
          </w:p>
        </w:tc>
        <w:tc>
          <w:tcPr>
            <w:tcW w:w="201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63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57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I68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8" w:line="260" w:lineRule="exact"/>
              <w:ind w:left="102" w:right="1012"/>
              <w:rPr>
                <w:sz w:val="20"/>
              </w:rPr>
            </w:pPr>
            <w:r>
              <w:rPr>
                <w:sz w:val="20"/>
              </w:rPr>
              <w:t>4 Hawksbury Drive 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57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20" w:line="211" w:lineRule="exact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I69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57 Pope Lane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9BY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I70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59/61 Pope Lane</w:t>
            </w:r>
          </w:p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9BY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I71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63 Pope Lane</w:t>
            </w:r>
          </w:p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9BY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I72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78 Towngate Leyland, PR25 2LR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I73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Gardeners Cottage, Worden Park Leyland, PR25 1DJ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I74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(Pearson House), 122b Station Road</w:t>
            </w:r>
          </w:p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Bamber Bridge, PR5 6TT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I75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RNA Club 74, Towngate Leyland, PR25 2LR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I76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Second &amp; Third Floor, Civic Centre</w:t>
            </w:r>
          </w:p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Leyland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I77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Ground floor, Civic Centre, Leyland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0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I78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0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Bamber Bridge Community Hall Station Road, Bamber Bridge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0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2"/>
        </w:trPr>
        <w:tc>
          <w:tcPr>
            <w:tcW w:w="55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63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I79</w:t>
            </w:r>
          </w:p>
        </w:tc>
        <w:tc>
          <w:tcPr>
            <w:tcW w:w="2425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3" w:line="260" w:lineRule="atLeast"/>
              <w:ind w:left="102" w:right="1012"/>
              <w:rPr>
                <w:sz w:val="20"/>
              </w:rPr>
            </w:pPr>
            <w:r>
              <w:rPr>
                <w:sz w:val="20"/>
              </w:rPr>
              <w:t>6 Hawksbury Drive Penwortham, Preston, PR1 9EJ</w:t>
            </w:r>
          </w:p>
        </w:tc>
        <w:tc>
          <w:tcPr>
            <w:tcW w:w="201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63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60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I80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0" w:line="260" w:lineRule="atLeast"/>
              <w:ind w:left="102" w:right="908"/>
              <w:rPr>
                <w:sz w:val="20"/>
              </w:rPr>
            </w:pPr>
            <w:r>
              <w:rPr>
                <w:sz w:val="20"/>
              </w:rPr>
              <w:t>12 Hawksbury Drive 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60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60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I81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6" w:line="262" w:lineRule="exact"/>
              <w:ind w:left="102" w:right="908"/>
              <w:rPr>
                <w:sz w:val="20"/>
              </w:rPr>
            </w:pPr>
            <w:r>
              <w:rPr>
                <w:sz w:val="20"/>
              </w:rPr>
              <w:t>14 Hawksbury Drive 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60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48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I82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sz w:val="20"/>
              </w:rPr>
              <w:t>20 Hawksbury Drive</w:t>
            </w:r>
          </w:p>
          <w:p w:rsidR="006C3700" w:rsidRDefault="006C3700" w:rsidP="00377244">
            <w:pPr>
              <w:pStyle w:val="TableParagraph"/>
              <w:spacing w:before="32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48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I83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8" w:line="260" w:lineRule="exact"/>
              <w:ind w:left="102" w:right="908"/>
              <w:rPr>
                <w:sz w:val="20"/>
              </w:rPr>
            </w:pPr>
            <w:r>
              <w:rPr>
                <w:sz w:val="20"/>
              </w:rPr>
              <w:t>22 Hawksbury Drive 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2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50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I84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0" w:line="260" w:lineRule="exact"/>
              <w:ind w:left="102" w:right="601"/>
              <w:rPr>
                <w:sz w:val="20"/>
              </w:rPr>
            </w:pPr>
            <w:r>
              <w:rPr>
                <w:sz w:val="20"/>
              </w:rPr>
              <w:t>3 Farmyard Cottages Worden Park Leyland, PR25 1DJ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50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50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I85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0" w:line="260" w:lineRule="exact"/>
              <w:ind w:left="102" w:right="601"/>
              <w:rPr>
                <w:sz w:val="20"/>
              </w:rPr>
            </w:pPr>
            <w:r>
              <w:rPr>
                <w:sz w:val="20"/>
              </w:rPr>
              <w:t>4 Farmyard Cottages, Worden Park Leyland PR25 I861DJ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50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6"/>
        </w:trPr>
        <w:tc>
          <w:tcPr>
            <w:tcW w:w="557" w:type="pct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51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I86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" w:line="260" w:lineRule="exact"/>
              <w:ind w:left="102" w:right="1012"/>
              <w:rPr>
                <w:sz w:val="20"/>
              </w:rPr>
            </w:pPr>
            <w:r>
              <w:rPr>
                <w:sz w:val="20"/>
              </w:rPr>
              <w:t>North Lodge, Worden Lane Leyland, PR25 3DH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51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5"/>
        </w:trPr>
        <w:tc>
          <w:tcPr>
            <w:tcW w:w="55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63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I87</w:t>
            </w:r>
          </w:p>
        </w:tc>
        <w:tc>
          <w:tcPr>
            <w:tcW w:w="2425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3" w:line="260" w:lineRule="atLeast"/>
              <w:ind w:left="102" w:right="1012"/>
              <w:rPr>
                <w:sz w:val="20"/>
              </w:rPr>
            </w:pPr>
            <w:r>
              <w:rPr>
                <w:sz w:val="20"/>
              </w:rPr>
              <w:t>2 Hawksbury Drive Penwortham, Preston, PR1 9EJ</w:t>
            </w:r>
          </w:p>
        </w:tc>
        <w:tc>
          <w:tcPr>
            <w:tcW w:w="201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63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7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I88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7" w:line="260" w:lineRule="exact"/>
              <w:ind w:left="102" w:right="1012"/>
              <w:rPr>
                <w:sz w:val="20"/>
              </w:rPr>
            </w:pPr>
            <w:r>
              <w:rPr>
                <w:sz w:val="20"/>
              </w:rPr>
              <w:t>8 Hawksbury Drive 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1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52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I89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" w:line="260" w:lineRule="exact"/>
              <w:ind w:left="102" w:right="908"/>
              <w:rPr>
                <w:sz w:val="20"/>
              </w:rPr>
            </w:pPr>
            <w:r>
              <w:rPr>
                <w:sz w:val="20"/>
              </w:rPr>
              <w:t>10 Hawksbury Drive 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52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1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51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I90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9"/>
              <w:ind w:left="102"/>
              <w:rPr>
                <w:sz w:val="20"/>
              </w:rPr>
            </w:pPr>
            <w:r>
              <w:rPr>
                <w:sz w:val="20"/>
              </w:rPr>
              <w:t>16 Hawksbury Drive</w:t>
            </w:r>
          </w:p>
          <w:p w:rsidR="006C3700" w:rsidRDefault="006C3700" w:rsidP="00377244">
            <w:pPr>
              <w:pStyle w:val="TableParagraph"/>
              <w:spacing w:before="32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51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2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I91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6" w:line="262" w:lineRule="exact"/>
              <w:ind w:left="102" w:right="908"/>
              <w:rPr>
                <w:sz w:val="20"/>
              </w:rPr>
            </w:pPr>
            <w:r>
              <w:rPr>
                <w:sz w:val="20"/>
              </w:rPr>
              <w:t>18 Hawksbury Drive 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510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48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I92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sz w:val="20"/>
              </w:rPr>
              <w:t>24 Hawksbury Drive</w:t>
            </w:r>
          </w:p>
          <w:p w:rsidR="006C3700" w:rsidRDefault="006C3700" w:rsidP="00377244">
            <w:pPr>
              <w:pStyle w:val="TableParagraph"/>
              <w:spacing w:before="29"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9EJ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148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8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28" w:line="211" w:lineRule="exact"/>
              <w:ind w:right="3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I93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377244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2A John Street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8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8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8" w:line="211" w:lineRule="exact"/>
              <w:ind w:right="319"/>
              <w:jc w:val="right"/>
              <w:rPr>
                <w:w w:val="95"/>
                <w:sz w:val="20"/>
              </w:rPr>
            </w:pP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Bamber Bridge, PR5 6TJ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C3700">
            <w:pPr>
              <w:pStyle w:val="TableParagraph"/>
              <w:spacing w:before="28" w:line="211" w:lineRule="exact"/>
              <w:ind w:left="520"/>
              <w:jc w:val="right"/>
              <w:rPr>
                <w:sz w:val="20"/>
              </w:rPr>
            </w:pP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8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8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I94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53 Pope Lane</w:t>
            </w:r>
          </w:p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9BY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8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8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8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I95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55 Pope Lane</w:t>
            </w:r>
          </w:p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9BY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8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8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8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I96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65 Pope Lane</w:t>
            </w:r>
          </w:p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9BY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8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8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8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I97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67 Pope Lane</w:t>
            </w:r>
          </w:p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9BY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8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8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8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I98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69 Pope Lane</w:t>
            </w:r>
          </w:p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Penwortham, Preston, PR1 9BY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8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  <w:tr w:rsidR="006C3700" w:rsidTr="006C3700">
        <w:tblPrEx>
          <w:tblBorders>
            <w:top w:val="thickThinMediumGap" w:sz="9" w:space="0" w:color="FFC000"/>
            <w:left w:val="thickThinMediumGap" w:sz="9" w:space="0" w:color="FFC000"/>
            <w:bottom w:val="thickThinMediumGap" w:sz="9" w:space="0" w:color="FFC000"/>
            <w:right w:val="thickThinMediumGap" w:sz="9" w:space="0" w:color="FFC000"/>
            <w:insideH w:val="thickThinMediumGap" w:sz="9" w:space="0" w:color="FFC000"/>
            <w:insideV w:val="thickThinMediumGap" w:sz="9" w:space="0" w:color="FFC000"/>
          </w:tblBorders>
        </w:tblPrEx>
        <w:trPr>
          <w:trHeight w:val="258"/>
        </w:trPr>
        <w:tc>
          <w:tcPr>
            <w:tcW w:w="55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:rsidR="006C3700" w:rsidRPr="0063732A" w:rsidRDefault="006C3700" w:rsidP="0063732A">
            <w:pPr>
              <w:pStyle w:val="TableParagraph"/>
              <w:spacing w:before="28" w:line="211" w:lineRule="exact"/>
              <w:ind w:right="3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I99</w:t>
            </w:r>
          </w:p>
        </w:tc>
        <w:tc>
          <w:tcPr>
            <w:tcW w:w="242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3732A">
            <w:pPr>
              <w:pStyle w:val="TableParagraph"/>
              <w:spacing w:before="28"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Refreshment Kiosk Worden Park</w:t>
            </w:r>
          </w:p>
        </w:tc>
        <w:tc>
          <w:tcPr>
            <w:tcW w:w="201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C3700" w:rsidRDefault="006C3700" w:rsidP="006C3700">
            <w:pPr>
              <w:pStyle w:val="TableParagraph"/>
              <w:spacing w:before="28" w:line="211" w:lineRule="exact"/>
              <w:ind w:left="520"/>
              <w:jc w:val="right"/>
              <w:rPr>
                <w:sz w:val="20"/>
              </w:rPr>
            </w:pPr>
            <w:r>
              <w:rPr>
                <w:sz w:val="20"/>
              </w:rPr>
              <w:t>Freehold</w:t>
            </w:r>
          </w:p>
        </w:tc>
      </w:tr>
    </w:tbl>
    <w:p w:rsidR="0070692B" w:rsidRDefault="0070692B" w:rsidP="0063732A"/>
    <w:sectPr w:rsidR="00706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44" w:rsidRDefault="00377244" w:rsidP="00C74B64">
      <w:r>
        <w:separator/>
      </w:r>
    </w:p>
  </w:endnote>
  <w:endnote w:type="continuationSeparator" w:id="0">
    <w:p w:rsidR="00377244" w:rsidRDefault="00377244" w:rsidP="00C7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44" w:rsidRDefault="00377244" w:rsidP="00C74B64">
      <w:r>
        <w:separator/>
      </w:r>
    </w:p>
  </w:footnote>
  <w:footnote w:type="continuationSeparator" w:id="0">
    <w:p w:rsidR="00377244" w:rsidRDefault="00377244" w:rsidP="00C7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44" w:rsidRDefault="00377244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25"/>
    <w:multiLevelType w:val="hybridMultilevel"/>
    <w:tmpl w:val="F1F02988"/>
    <w:lvl w:ilvl="0" w:tplc="AEF2FF1E">
      <w:start w:val="1"/>
      <w:numFmt w:val="decimal"/>
      <w:lvlText w:val="(%1)"/>
      <w:lvlJc w:val="left"/>
      <w:pPr>
        <w:ind w:left="1754" w:hanging="315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en-GB" w:eastAsia="en-GB" w:bidi="en-GB"/>
      </w:rPr>
    </w:lvl>
    <w:lvl w:ilvl="1" w:tplc="BC50BAE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2" w:tplc="7862D41E">
      <w:numFmt w:val="bullet"/>
      <w:lvlText w:val="•"/>
      <w:lvlJc w:val="left"/>
      <w:pPr>
        <w:ind w:left="3242" w:hanging="360"/>
      </w:pPr>
      <w:rPr>
        <w:rFonts w:hint="default"/>
        <w:lang w:val="en-GB" w:eastAsia="en-GB" w:bidi="en-GB"/>
      </w:rPr>
    </w:lvl>
    <w:lvl w:ilvl="3" w:tplc="331E92CE">
      <w:numFmt w:val="bullet"/>
      <w:lvlText w:val="•"/>
      <w:lvlJc w:val="left"/>
      <w:pPr>
        <w:ind w:left="4325" w:hanging="360"/>
      </w:pPr>
      <w:rPr>
        <w:rFonts w:hint="default"/>
        <w:lang w:val="en-GB" w:eastAsia="en-GB" w:bidi="en-GB"/>
      </w:rPr>
    </w:lvl>
    <w:lvl w:ilvl="4" w:tplc="58A65D78">
      <w:numFmt w:val="bullet"/>
      <w:lvlText w:val="•"/>
      <w:lvlJc w:val="left"/>
      <w:pPr>
        <w:ind w:left="5408" w:hanging="360"/>
      </w:pPr>
      <w:rPr>
        <w:rFonts w:hint="default"/>
        <w:lang w:val="en-GB" w:eastAsia="en-GB" w:bidi="en-GB"/>
      </w:rPr>
    </w:lvl>
    <w:lvl w:ilvl="5" w:tplc="36ACF5F2">
      <w:numFmt w:val="bullet"/>
      <w:lvlText w:val="•"/>
      <w:lvlJc w:val="left"/>
      <w:pPr>
        <w:ind w:left="6491" w:hanging="360"/>
      </w:pPr>
      <w:rPr>
        <w:rFonts w:hint="default"/>
        <w:lang w:val="en-GB" w:eastAsia="en-GB" w:bidi="en-GB"/>
      </w:rPr>
    </w:lvl>
    <w:lvl w:ilvl="6" w:tplc="FEB2A460">
      <w:numFmt w:val="bullet"/>
      <w:lvlText w:val="•"/>
      <w:lvlJc w:val="left"/>
      <w:pPr>
        <w:ind w:left="7574" w:hanging="360"/>
      </w:pPr>
      <w:rPr>
        <w:rFonts w:hint="default"/>
        <w:lang w:val="en-GB" w:eastAsia="en-GB" w:bidi="en-GB"/>
      </w:rPr>
    </w:lvl>
    <w:lvl w:ilvl="7" w:tplc="A45A7EC8">
      <w:numFmt w:val="bullet"/>
      <w:lvlText w:val="•"/>
      <w:lvlJc w:val="left"/>
      <w:pPr>
        <w:ind w:left="8657" w:hanging="360"/>
      </w:pPr>
      <w:rPr>
        <w:rFonts w:hint="default"/>
        <w:lang w:val="en-GB" w:eastAsia="en-GB" w:bidi="en-GB"/>
      </w:rPr>
    </w:lvl>
    <w:lvl w:ilvl="8" w:tplc="4C98D51C">
      <w:numFmt w:val="bullet"/>
      <w:lvlText w:val="•"/>
      <w:lvlJc w:val="left"/>
      <w:pPr>
        <w:ind w:left="974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97B3039"/>
    <w:multiLevelType w:val="hybridMultilevel"/>
    <w:tmpl w:val="897CF8D4"/>
    <w:lvl w:ilvl="0" w:tplc="5EC89BAC">
      <w:start w:val="1"/>
      <w:numFmt w:val="lowerLetter"/>
      <w:lvlText w:val="(%1)"/>
      <w:lvlJc w:val="left"/>
      <w:pPr>
        <w:ind w:left="1754" w:hanging="315"/>
      </w:pPr>
      <w:rPr>
        <w:rFonts w:ascii="Arial" w:eastAsia="Arial" w:hAnsi="Arial" w:cs="Arial" w:hint="default"/>
        <w:spacing w:val="-1"/>
        <w:w w:val="100"/>
        <w:sz w:val="21"/>
        <w:szCs w:val="21"/>
        <w:u w:val="single" w:color="000000"/>
        <w:lang w:val="en-GB" w:eastAsia="en-GB" w:bidi="en-GB"/>
      </w:rPr>
    </w:lvl>
    <w:lvl w:ilvl="1" w:tplc="BEE61FC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2" w:tplc="4104B436">
      <w:numFmt w:val="bullet"/>
      <w:lvlText w:val="•"/>
      <w:lvlJc w:val="left"/>
      <w:pPr>
        <w:ind w:left="2887" w:hanging="360"/>
      </w:pPr>
      <w:rPr>
        <w:rFonts w:hint="default"/>
        <w:lang w:val="en-GB" w:eastAsia="en-GB" w:bidi="en-GB"/>
      </w:rPr>
    </w:lvl>
    <w:lvl w:ilvl="3" w:tplc="06ECF12C">
      <w:numFmt w:val="bullet"/>
      <w:lvlText w:val="•"/>
      <w:lvlJc w:val="left"/>
      <w:pPr>
        <w:ind w:left="4014" w:hanging="360"/>
      </w:pPr>
      <w:rPr>
        <w:rFonts w:hint="default"/>
        <w:lang w:val="en-GB" w:eastAsia="en-GB" w:bidi="en-GB"/>
      </w:rPr>
    </w:lvl>
    <w:lvl w:ilvl="4" w:tplc="B8867F3E">
      <w:numFmt w:val="bullet"/>
      <w:lvlText w:val="•"/>
      <w:lvlJc w:val="left"/>
      <w:pPr>
        <w:ind w:left="5142" w:hanging="360"/>
      </w:pPr>
      <w:rPr>
        <w:rFonts w:hint="default"/>
        <w:lang w:val="en-GB" w:eastAsia="en-GB" w:bidi="en-GB"/>
      </w:rPr>
    </w:lvl>
    <w:lvl w:ilvl="5" w:tplc="DD800650">
      <w:numFmt w:val="bullet"/>
      <w:lvlText w:val="•"/>
      <w:lvlJc w:val="left"/>
      <w:pPr>
        <w:ind w:left="6269" w:hanging="360"/>
      </w:pPr>
      <w:rPr>
        <w:rFonts w:hint="default"/>
        <w:lang w:val="en-GB" w:eastAsia="en-GB" w:bidi="en-GB"/>
      </w:rPr>
    </w:lvl>
    <w:lvl w:ilvl="6" w:tplc="6674D1C2">
      <w:numFmt w:val="bullet"/>
      <w:lvlText w:val="•"/>
      <w:lvlJc w:val="left"/>
      <w:pPr>
        <w:ind w:left="7396" w:hanging="360"/>
      </w:pPr>
      <w:rPr>
        <w:rFonts w:hint="default"/>
        <w:lang w:val="en-GB" w:eastAsia="en-GB" w:bidi="en-GB"/>
      </w:rPr>
    </w:lvl>
    <w:lvl w:ilvl="7" w:tplc="9FD42908">
      <w:numFmt w:val="bullet"/>
      <w:lvlText w:val="•"/>
      <w:lvlJc w:val="left"/>
      <w:pPr>
        <w:ind w:left="8524" w:hanging="360"/>
      </w:pPr>
      <w:rPr>
        <w:rFonts w:hint="default"/>
        <w:lang w:val="en-GB" w:eastAsia="en-GB" w:bidi="en-GB"/>
      </w:rPr>
    </w:lvl>
    <w:lvl w:ilvl="8" w:tplc="64C07E4A">
      <w:numFmt w:val="bullet"/>
      <w:lvlText w:val="•"/>
      <w:lvlJc w:val="left"/>
      <w:pPr>
        <w:ind w:left="9651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4"/>
    <w:rsid w:val="00377244"/>
    <w:rsid w:val="003E4848"/>
    <w:rsid w:val="0063732A"/>
    <w:rsid w:val="006C3700"/>
    <w:rsid w:val="0070692B"/>
    <w:rsid w:val="00C74B64"/>
    <w:rsid w:val="00CB4548"/>
    <w:rsid w:val="00EB4CAB"/>
    <w:rsid w:val="00F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F3FE4-A63E-4580-ABC8-0D1F925D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B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C74B64"/>
    <w:pPr>
      <w:spacing w:before="165"/>
      <w:ind w:left="144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4B64"/>
    <w:rPr>
      <w:rFonts w:ascii="Arial" w:eastAsia="Arial" w:hAnsi="Arial" w:cs="Arial"/>
      <w:b/>
      <w:bCs/>
      <w:sz w:val="21"/>
      <w:szCs w:val="21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74B64"/>
    <w:pPr>
      <w:ind w:left="21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74B64"/>
    <w:rPr>
      <w:rFonts w:ascii="Arial" w:eastAsia="Arial" w:hAnsi="Arial" w:cs="Arial"/>
      <w:sz w:val="21"/>
      <w:szCs w:val="21"/>
      <w:lang w:eastAsia="en-GB" w:bidi="en-GB"/>
    </w:rPr>
  </w:style>
  <w:style w:type="paragraph" w:styleId="ListParagraph">
    <w:name w:val="List Paragraph"/>
    <w:basedOn w:val="Normal"/>
    <w:uiPriority w:val="1"/>
    <w:qFormat/>
    <w:rsid w:val="00C74B64"/>
    <w:pPr>
      <w:spacing w:before="16"/>
      <w:ind w:left="2160" w:hanging="361"/>
    </w:pPr>
  </w:style>
  <w:style w:type="paragraph" w:customStyle="1" w:styleId="TableParagraph">
    <w:name w:val="Table Paragraph"/>
    <w:basedOn w:val="Normal"/>
    <w:uiPriority w:val="1"/>
    <w:qFormat/>
    <w:rsid w:val="0063732A"/>
    <w:pPr>
      <w:spacing w:before="15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2A"/>
    <w:rPr>
      <w:rFonts w:ascii="Segoe UI" w:eastAsia="Aria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Peter</dc:creator>
  <cp:keywords/>
  <dc:description/>
  <cp:lastModifiedBy>Scambler, Dianne</cp:lastModifiedBy>
  <cp:revision>2</cp:revision>
  <cp:lastPrinted>2019-11-05T12:16:00Z</cp:lastPrinted>
  <dcterms:created xsi:type="dcterms:W3CDTF">2019-11-05T12:51:00Z</dcterms:created>
  <dcterms:modified xsi:type="dcterms:W3CDTF">2019-11-05T12:51:00Z</dcterms:modified>
</cp:coreProperties>
</file>